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AI Risk Register Template</w:t>
      </w:r>
    </w:p>
    <w:p>
      <w:r>
        <w:t xml:space="preserve">From AI Policy Desk: https://www.aipolicydesk.com/blog/ai-risk-register-template-2026 (page updated 2026-10-23T00:30:00Z). Check the page for the latest version before you rely on it.</w:t>
      </w:r>
    </w:p>
    <w:p>
      <w:r>
        <w:t xml:space="preserve">Score = likelihood x impact. Rescore every row for your own tools, delete rows that don't apply and add your own.</w:t>
      </w:r>
    </w:p>
    <w:p>
      <w:pPr>
        <w:pStyle w:val="Heading2"/>
      </w:pPr>
      <w:r>
        <w:t xml:space="preserve">Risk register</w:t>
      </w:r>
    </w:p>
    <w:tbl>
      <w:tblPr>
        <w:tblStyle w:val="TableGrid"/>
        <w:tblW w:w="13680" w:type="dxa"/>
        <w:tblLayout w:type="fixed"/>
      </w:tblPr>
      <w:tblGrid>
        <w:gridCol w:w="624"/>
        <w:gridCol w:w="2998"/>
        <w:gridCol w:w="437"/>
        <w:gridCol w:w="437"/>
        <w:gridCol w:w="687"/>
        <w:gridCol w:w="3248"/>
        <w:gridCol w:w="2748"/>
        <w:gridCol w:w="1249"/>
        <w:gridCol w:w="1249"/>
      </w:tblGrid>
      <w:tr>
        <w:trPr>
          <w:tblHeader/>
        </w:trPr>
        <w:tc>
          <w:tcPr>
            <w:tcW w:w="62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ID</w:t>
            </w:r>
          </w:p>
        </w:tc>
        <w:tc>
          <w:tcPr>
            <w:tcW w:w="299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Risk</w:t>
            </w:r>
          </w:p>
        </w:tc>
        <w:tc>
          <w:tcPr>
            <w:tcW w:w="43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L</w:t>
            </w:r>
          </w:p>
        </w:tc>
        <w:tc>
          <w:tcPr>
            <w:tcW w:w="43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I</w:t>
            </w:r>
          </w:p>
        </w:tc>
        <w:tc>
          <w:tcPr>
            <w:tcW w:w="68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32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Control</w:t>
            </w:r>
          </w:p>
        </w:tc>
        <w:tc>
          <w:tcPr>
            <w:tcW w:w="27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Rule or framework</w:t>
            </w:r>
          </w:p>
        </w:tc>
        <w:tc>
          <w:tcPr>
            <w:tcW w:w="1249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Owner</w:t>
            </w:r>
          </w:p>
        </w:tc>
        <w:tc>
          <w:tcPr>
            <w:tcW w:w="1249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Next review</w:t>
            </w: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Staff paste customer or confidential data into personal AI accounts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Approved-tools list, company accounts only, a one-page shadow AI policy (https://www.aipolicydesk.com/blog/shadow-ai-policy-small-teams-2026)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GDPR Art. 28(3) processor contract; Art. 30 record of processing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R2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An AI vendor keeps or trains on your inputs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Check retention and training terms before purchase; redline the contract (https://www.aipolicydesk.com/blog/ai-vendor-contract-redline-template-2026)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GDPR Art. 28(3); NIST AI RMF Manage 3.1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R3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Made-up facts, figures or citations reach a client or a court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named human checks every citation and number before it leaves the company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Court sanctions for AI-made-up citations (tracker (https://www.aipolicydesk.com/blog/ai-citation-hallucination-court-sanctions-tracker-2026))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R4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hiring or screening tool treats applicants unfairly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Bias audit before use, human review of every rejection the tool drives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Annex III point 4(a); NYC Local Law 144 bias audit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R5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decision with legal or similar effect is made by software alone, with no human route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human reviews before the decision lands; a way to contest it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GDPR Art. 22(1) and 22(3) (guide (https://www.aipolicydesk.com/blog/gdpr-article-22-automated-decisions-ai-tools-2026))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R6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customer-facing chatbot hides that it's a bot, or has no route to a person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Bot disclosure in the first message; a one-step "agent" option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50(1); NYC DCWP proposed rule (https://www.aipolicydesk.com/blog/nyc-chatbot-doom-loop-rule-customer-service-checklist-2026)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R7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AI-generated image, audio or video of a real person is published without a label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Label rule in the content checklist; consent on file for any real person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50(4)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R8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deepfake voice or video of a manager is used to request a payment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15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Call-back on a known number for any new payee or changed bank details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No AI-specific rule: your payment-verification policy (case (https://www.aipolicydesk.com/blog/deepfake-ceo-fraud-fideuram-payment-verification-small-teams-2026))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R9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An AI agent takes an action nobody approved (sends, deletes, pays)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Least-privilege access; a human approves anything irreversible (agent vetting (https://www.aipolicydesk.com/blog/meta-muse-zero-day-ai-agent-permissions-vetting-enterprise-2026))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Internal approval policy; NIST AI RMF Manage 1.3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R10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API keys or credentials leak through an AI coding tool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Secret scanning on every repo; a key rotation runbook (https://www.aipolicydesk.com/blog/opencode-console-breach-api-key-rotation-checklist-2026)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Internal security policy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R11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key AI vendor goes down, changes its terms or leaves your market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second model or a manual fallback for each critical workflow (example (https://www.aipolicydesk.com/blog/anthropic-export-ban-vendor-dependency-compliance-2026))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NIST AI RMF Manage 3.1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R12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A vendor or its owner lands on a sanctions or federal exclusion list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Screen vendors against OFAC's SDN and Consolidated lists at onboarding and yearly (NS-MBS case (https://www.aipolicydesk.com/blog/miracleplus-paipa-sanctions-us-ai-teams-2026), FASCSA case (https://www.aipolicydesk.com/blog/dhs-deepseek-ban-federal-contractors-fascsa-2026))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OFAC sanctions lists; FASCSA orders for federal contractors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R13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Nobody knows which AI tools are in use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Keep an AI register (https://www.aipolicydesk.com/blog/ai-register-template-free-2026), reviewed quarterly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NIST AI RMF Govern 1.6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R14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You can't produce logs or evidence when a client or regulator asks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Decide which tool logs you keep and for how long; store test results with the register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26(6) (high-risk deployers); Texas TRAIGA Sec. 552.105(e)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R15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Staff aren't told before AI is used to manage or monitor them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Written notice to staff before rollout (workforce policy (https://www.aipolicydesk.com/blog/ai-workforce-governance-policy-template-2026))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26(7) (high-risk, workplace)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R16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Staff use AI tools without basic training on their limits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A short onboarding session and the acceptable use policy (https://www.aipolicydesk.com/blog/ai-acceptable-use-policy-template-small-teams)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EU AI Act Art. 4, as amended by Regulation (EU) 2026/1744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624" w:type="dxa"/>
          </w:tcPr>
          <w:p>
            <w:pPr>
              <w:spacing w:after="0"/>
            </w:pPr>
            <w:r>
              <w:t xml:space="preserve">R17</w:t>
            </w:r>
          </w:p>
        </w:tc>
        <w:tc>
          <w:tcPr>
            <w:tcW w:w="2998" w:type="dxa"/>
          </w:tcPr>
          <w:p>
            <w:pPr>
              <w:spacing w:after="0"/>
            </w:pPr>
            <w:r>
              <w:t xml:space="preserve">Output copies protected material or someone else's IP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43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87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248" w:type="dxa"/>
          </w:tcPr>
          <w:p>
            <w:pPr>
              <w:spacing w:after="0"/>
            </w:pPr>
            <w:r>
              <w:t xml:space="preserve">No AI output in shipped code, logos or published copy without a human check</w:t>
            </w:r>
          </w:p>
        </w:tc>
        <w:tc>
          <w:tcPr>
            <w:tcW w:w="2748" w:type="dxa"/>
          </w:tcPr>
          <w:p>
            <w:pPr>
              <w:spacing w:after="0"/>
            </w:pPr>
            <w:r>
              <w:t xml:space="preserve">NIST AI RMF Map 4.1</w:t>
            </w:r>
          </w:p>
        </w:tc>
        <w:tc>
          <w:tcPr>
            <w:tcW w:w="1249" w:type="dxa"/>
          </w:tcPr>
          <w:p>
            <w:pPr>
              <w:spacing w:after="0"/>
            </w:pPr>
          </w:p>
        </w:tc>
        <w:tc>
          <w:tcPr>
            <w:tcW w:w="1249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Scoring scale</w:t>
      </w:r>
    </w:p>
    <w:tbl>
      <w:tblPr>
        <w:tblStyle w:val="TableGrid"/>
        <w:tblW w:w="13680" w:type="dxa"/>
        <w:tblLayout w:type="fixed"/>
      </w:tblPr>
      <w:tblGrid>
        <w:gridCol w:w="1243"/>
        <w:gridCol w:w="6218"/>
        <w:gridCol w:w="6218"/>
      </w:tblGrid>
      <w:tr>
        <w:trPr>
          <w:tblHeader/>
        </w:trPr>
        <w:tc>
          <w:tcPr>
            <w:tcW w:w="1243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621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Likelihood: how often</w:t>
            </w:r>
          </w:p>
        </w:tc>
        <w:tc>
          <w:tcPr>
            <w:tcW w:w="621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Impact: how bad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Rare: no known case in your sector; several things would have to fail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Minor: an internal annoyance, fixed in a day, no customer notices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Unlikely: has happened elsewhere, not to you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Limited: one customer or one document affected, fixed within a week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Possible: could happen this year given how you use the tool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Moderate: several customers affected, a complaint, rework or a contract conversation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Likely: has happened to you or a peer, or staff already do it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Major: a regulator's question, a lost client, personal data exposed</w:t>
            </w:r>
          </w:p>
        </w:tc>
      </w:tr>
      <w:tr>
        <w:trPr>
          <w:cantSplit/>
        </w:trPr>
        <w:tc>
          <w:tcPr>
            <w:tcW w:w="1243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Almost certain: happening now or will this quarter</w:t>
            </w:r>
          </w:p>
        </w:tc>
        <w:tc>
          <w:tcPr>
            <w:tcW w:w="6218" w:type="dxa"/>
          </w:tcPr>
          <w:p>
            <w:pPr>
              <w:spacing w:after="0"/>
            </w:pPr>
            <w:r>
              <w:t xml:space="preserve">Severe: a fine, a lawsuit, a breach notice, or harm to someone's job, credit or health</w:t>
            </w:r>
          </w:p>
        </w:tc>
      </w:tr>
    </w:tbl>
    <w:p/>
    <w:p>
      <w:pPr>
        <w:pStyle w:val="Heading2"/>
      </w:pPr>
      <w:r>
        <w:t xml:space="preserve">Rating bands</w:t>
      </w:r>
    </w:p>
    <w:tbl>
      <w:tblPr>
        <w:tblStyle w:val="TableGrid"/>
        <w:tblW w:w="13680" w:type="dxa"/>
        <w:tblLayout w:type="fixed"/>
      </w:tblPr>
      <w:tblGrid>
        <w:gridCol w:w="2280"/>
        <w:gridCol w:w="2280"/>
        <w:gridCol w:w="9120"/>
      </w:tblGrid>
      <w:tr>
        <w:trPr>
          <w:tblHeader/>
        </w:trPr>
        <w:tc>
          <w:tcPr>
            <w:tcW w:w="228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Rating</w:t>
            </w:r>
          </w:p>
        </w:tc>
        <w:tc>
          <w:tcPr>
            <w:tcW w:w="228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 from</w:t>
            </w:r>
          </w:p>
        </w:tc>
        <w:tc>
          <w:tcPr>
            <w:tcW w:w="912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What to do</w:t>
            </w:r>
          </w:p>
        </w:tc>
      </w:tr>
      <w:tr>
        <w:trPr>
          <w:cantSplit/>
        </w:trPr>
        <w:tc>
          <w:tcPr>
            <w:tcW w:w="2280" w:type="dxa"/>
          </w:tcPr>
          <w:p>
            <w:pPr>
              <w:spacing w:after="0"/>
            </w:pPr>
            <w:r>
              <w:t xml:space="preserve">High</w:t>
            </w:r>
          </w:p>
        </w:tc>
        <w:tc>
          <w:tcPr>
            <w:tcW w:w="2280" w:type="dxa"/>
          </w:tcPr>
          <w:p>
            <w:pPr>
              <w:spacing w:after="0"/>
            </w:pPr>
            <w:r>
              <w:t xml:space="preserve">15</w:t>
            </w:r>
          </w:p>
        </w:tc>
        <w:tc>
          <w:tcPr>
            <w:tcW w:w="9120" w:type="dxa"/>
          </w:tcPr>
          <w:p>
            <w:pPr>
              <w:spacing w:after="0"/>
            </w:pPr>
            <w:r>
              <w:t xml:space="preserve">Named owner, a fix date within 30 days, and leadership hears about it at the next meeting</w:t>
            </w:r>
          </w:p>
        </w:tc>
      </w:tr>
      <w:tr>
        <w:trPr>
          <w:cantSplit/>
        </w:trPr>
        <w:tc>
          <w:tcPr>
            <w:tcW w:w="2280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228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9120" w:type="dxa"/>
          </w:tcPr>
          <w:p>
            <w:pPr>
              <w:spacing w:after="0"/>
            </w:pPr>
            <w:r>
              <w:t xml:space="preserve">Named owner and a control in place within the quarter</w:t>
            </w:r>
          </w:p>
        </w:tc>
      </w:tr>
      <w:tr>
        <w:trPr>
          <w:cantSplit/>
        </w:trPr>
        <w:tc>
          <w:tcPr>
            <w:tcW w:w="2280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228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9120" w:type="dxa"/>
          </w:tcPr>
          <w:p>
            <w:pPr>
              <w:spacing w:after="0"/>
            </w:pPr>
            <w:r>
              <w:t xml:space="preserve">Accept it, write down why, recheck at the next review</w:t>
            </w:r>
          </w:p>
        </w:tc>
      </w:tr>
    </w:tbl>
    <w:p/>
    <w:sectPr>
      <w:pgSz w:w="15840" w:h="12240" w:orient="landscape"/>
      <w:pgMar w:top="1080" w:right="1080" w:bottom="1080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1F3A5F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3A5F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16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EC0"/>
        <w:left w:val="single" w:sz="4" w:space="0" w:color="A0AEC0"/>
        <w:bottom w:val="single" w:sz="4" w:space="0" w:color="A0AEC0"/>
        <w:right w:val="single" w:sz="4" w:space="0" w:color="A0AEC0"/>
        <w:insideH w:val="single" w:sz="4" w:space="0" w:color="A0AEC0"/>
        <w:insideV w:val="single" w:sz="4" w:space="0" w:color="A0AEC0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risk register template</dc:title>
  <dc:creator>AI Policy Desk</dc:creator>
</cp:coreProperties>
</file>