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eading1"/>
      </w:pPr>
      <w:r>
        <w:t xml:space="preserve">AI Register Template</w:t>
      </w:r>
    </w:p>
    <w:p>
      <w:r>
        <w:t xml:space="preserve">From AI Policy Desk: https://www.aipolicydesk.com/blog/ai-register-template-free-2026 (page updated 2026-10-23). Check the page for the latest version before you rely on it.</w:t>
      </w:r>
    </w:p>
    <w:p>
      <w:r>
        <w:t xml:space="preserve">Copy the entry table once per AI system. The field guide below explains what to record.</w:t>
      </w:r>
    </w:p>
    <w:p>
      <w:pPr>
        <w:pStyle w:val="Heading2"/>
      </w:pPr>
      <w:r>
        <w:t xml:space="preserve">Register entry</w:t>
      </w:r>
    </w:p>
    <w:tbl>
      <w:tblPr>
        <w:tblStyle w:val="TableGrid"/>
        <w:tblW w:w="10080" w:type="dxa"/>
        <w:tblLayout w:type="fixed"/>
      </w:tblPr>
      <w:tblGrid>
        <w:gridCol w:w="3360"/>
        <w:gridCol w:w="6720"/>
      </w:tblGrid>
      <w:tr>
        <w:trPr>
          <w:tblHeader/>
        </w:trPr>
        <w:tc>
          <w:tcPr>
            <w:tcW w:w="3360" w:type="dxa"/>
            <w:shd w:val="clear" w:color="auto" w:fill="1F3A5F"/>
          </w:tcPr>
          <w:p>
            <w:pPr>
              <w:spacing w:after="0"/>
            </w:pPr>
            <w:r>
              <w:rPr>
                <w:b/>
                <w:color w:val="FFFFFF"/>
              </w:rPr>
              <w:t xml:space="preserve">Field</w:t>
            </w:r>
          </w:p>
        </w:tc>
        <w:tc>
          <w:tcPr>
            <w:tcW w:w="6720" w:type="dxa"/>
            <w:shd w:val="clear" w:color="auto" w:fill="1F3A5F"/>
          </w:tcPr>
          <w:p>
            <w:pPr>
              <w:spacing w:after="0"/>
            </w:pPr>
            <w:r>
              <w:rPr>
                <w:b/>
                <w:color w:val="FFFFFF"/>
              </w:rPr>
              <w:t xml:space="preserve">Entry</w:t>
            </w:r>
          </w:p>
        </w:tc>
      </w:tr>
      <w:tr>
        <w:trPr>
          <w:cantSplit/>
        </w:trPr>
        <w:tc>
          <w:tcPr>
            <w:tcW w:w="3360" w:type="dxa"/>
          </w:tcPr>
          <w:p>
            <w:pPr>
              <w:spacing w:after="0"/>
            </w:pPr>
            <w:r>
              <w:rPr>
                <w:b/>
              </w:rPr>
              <w:t xml:space="preserve">System name</w:t>
            </w:r>
          </w:p>
        </w:tc>
        <w:tc>
          <w:tcPr>
            <w:tcW w:w="6720" w:type="dxa"/>
          </w:tcPr>
          <w:p>
            <w:pPr>
              <w:spacing w:after="0"/>
            </w:pPr>
          </w:p>
        </w:tc>
      </w:tr>
      <w:tr>
        <w:trPr>
          <w:cantSplit/>
        </w:trPr>
        <w:tc>
          <w:tcPr>
            <w:tcW w:w="3360" w:type="dxa"/>
          </w:tcPr>
          <w:p>
            <w:pPr>
              <w:spacing w:after="0"/>
            </w:pPr>
            <w:r>
              <w:rPr>
                <w:b/>
              </w:rPr>
              <w:t xml:space="preserve">Vendor / provider</w:t>
            </w:r>
          </w:p>
        </w:tc>
        <w:tc>
          <w:tcPr>
            <w:tcW w:w="6720" w:type="dxa"/>
          </w:tcPr>
          <w:p>
            <w:pPr>
              <w:spacing w:after="0"/>
            </w:pPr>
          </w:p>
        </w:tc>
      </w:tr>
      <w:tr>
        <w:trPr>
          <w:cantSplit/>
        </w:trPr>
        <w:tc>
          <w:tcPr>
            <w:tcW w:w="3360" w:type="dxa"/>
          </w:tcPr>
          <w:p>
            <w:pPr>
              <w:spacing w:after="0"/>
            </w:pPr>
            <w:r>
              <w:rPr>
                <w:b/>
              </w:rPr>
              <w:t xml:space="preserve">Version / model</w:t>
            </w:r>
          </w:p>
        </w:tc>
        <w:tc>
          <w:tcPr>
            <w:tcW w:w="6720" w:type="dxa"/>
          </w:tcPr>
          <w:p>
            <w:pPr>
              <w:spacing w:after="0"/>
            </w:pPr>
          </w:p>
        </w:tc>
      </w:tr>
      <w:tr>
        <w:trPr>
          <w:cantSplit/>
        </w:trPr>
        <w:tc>
          <w:tcPr>
            <w:tcW w:w="3360" w:type="dxa"/>
          </w:tcPr>
          <w:p>
            <w:pPr>
              <w:spacing w:after="0"/>
            </w:pPr>
            <w:r>
              <w:rPr>
                <w:b/>
              </w:rPr>
              <w:t xml:space="preserve">Purpose / use case</w:t>
            </w:r>
          </w:p>
        </w:tc>
        <w:tc>
          <w:tcPr>
            <w:tcW w:w="6720" w:type="dxa"/>
          </w:tcPr>
          <w:p>
            <w:pPr>
              <w:spacing w:after="0"/>
            </w:pPr>
          </w:p>
        </w:tc>
      </w:tr>
      <w:tr>
        <w:trPr>
          <w:cantSplit/>
        </w:trPr>
        <w:tc>
          <w:tcPr>
            <w:tcW w:w="3360" w:type="dxa"/>
          </w:tcPr>
          <w:p>
            <w:pPr>
              <w:spacing w:after="0"/>
            </w:pPr>
            <w:r>
              <w:rPr>
                <w:b/>
              </w:rPr>
              <w:t xml:space="preserve">Risk classification</w:t>
            </w:r>
          </w:p>
        </w:tc>
        <w:tc>
          <w:tcPr>
            <w:tcW w:w="6720" w:type="dxa"/>
          </w:tcPr>
          <w:p>
            <w:pPr>
              <w:spacing w:after="0"/>
            </w:pPr>
          </w:p>
        </w:tc>
      </w:tr>
      <w:tr>
        <w:trPr>
          <w:cantSplit/>
        </w:trPr>
        <w:tc>
          <w:tcPr>
            <w:tcW w:w="3360" w:type="dxa"/>
          </w:tcPr>
          <w:p>
            <w:pPr>
              <w:spacing w:after="0"/>
            </w:pPr>
            <w:r>
              <w:rPr>
                <w:b/>
              </w:rPr>
              <w:t xml:space="preserve">Data inputs</w:t>
            </w:r>
          </w:p>
        </w:tc>
        <w:tc>
          <w:tcPr>
            <w:tcW w:w="6720" w:type="dxa"/>
          </w:tcPr>
          <w:p>
            <w:pPr>
              <w:spacing w:after="0"/>
            </w:pPr>
          </w:p>
        </w:tc>
      </w:tr>
      <w:tr>
        <w:trPr>
          <w:cantSplit/>
        </w:trPr>
        <w:tc>
          <w:tcPr>
            <w:tcW w:w="3360" w:type="dxa"/>
          </w:tcPr>
          <w:p>
            <w:pPr>
              <w:spacing w:after="0"/>
            </w:pPr>
            <w:r>
              <w:rPr>
                <w:b/>
              </w:rPr>
              <w:t xml:space="preserve">Output type</w:t>
            </w:r>
          </w:p>
        </w:tc>
        <w:tc>
          <w:tcPr>
            <w:tcW w:w="6720" w:type="dxa"/>
          </w:tcPr>
          <w:p>
            <w:pPr>
              <w:spacing w:after="0"/>
            </w:pPr>
          </w:p>
        </w:tc>
      </w:tr>
      <w:tr>
        <w:trPr>
          <w:cantSplit/>
        </w:trPr>
        <w:tc>
          <w:tcPr>
            <w:tcW w:w="3360" w:type="dxa"/>
          </w:tcPr>
          <w:p>
            <w:pPr>
              <w:spacing w:after="0"/>
            </w:pPr>
            <w:r>
              <w:rPr>
                <w:b/>
              </w:rPr>
              <w:t xml:space="preserve">Human oversight mechanism</w:t>
            </w:r>
          </w:p>
        </w:tc>
        <w:tc>
          <w:tcPr>
            <w:tcW w:w="6720" w:type="dxa"/>
          </w:tcPr>
          <w:p>
            <w:pPr>
              <w:spacing w:after="0"/>
            </w:pPr>
          </w:p>
        </w:tc>
      </w:tr>
      <w:tr>
        <w:trPr>
          <w:cantSplit/>
        </w:trPr>
        <w:tc>
          <w:tcPr>
            <w:tcW w:w="3360" w:type="dxa"/>
          </w:tcPr>
          <w:p>
            <w:pPr>
              <w:spacing w:after="0"/>
            </w:pPr>
            <w:r>
              <w:rPr>
                <w:b/>
              </w:rPr>
              <w:t xml:space="preserve">Last review date</w:t>
            </w:r>
          </w:p>
        </w:tc>
        <w:tc>
          <w:tcPr>
            <w:tcW w:w="6720" w:type="dxa"/>
          </w:tcPr>
          <w:p>
            <w:pPr>
              <w:spacing w:after="0"/>
            </w:pPr>
          </w:p>
        </w:tc>
      </w:tr>
      <w:tr>
        <w:trPr>
          <w:cantSplit/>
        </w:trPr>
        <w:tc>
          <w:tcPr>
            <w:tcW w:w="3360" w:type="dxa"/>
          </w:tcPr>
          <w:p>
            <w:pPr>
              <w:spacing w:after="0"/>
            </w:pPr>
            <w:r>
              <w:rPr>
                <w:b/>
              </w:rPr>
              <w:t xml:space="preserve">Responsible owner</w:t>
            </w:r>
          </w:p>
        </w:tc>
        <w:tc>
          <w:tcPr>
            <w:tcW w:w="6720" w:type="dxa"/>
          </w:tcPr>
          <w:p>
            <w:pPr>
              <w:spacing w:after="0"/>
            </w:pPr>
          </w:p>
        </w:tc>
      </w:tr>
      <w:tr>
        <w:trPr>
          <w:cantSplit/>
        </w:trPr>
        <w:tc>
          <w:tcPr>
            <w:tcW w:w="3360" w:type="dxa"/>
          </w:tcPr>
          <w:p>
            <w:pPr>
              <w:spacing w:after="0"/>
            </w:pPr>
            <w:r>
              <w:rPr>
                <w:b/>
              </w:rPr>
              <w:t xml:space="preserve">Compliance framework mapping</w:t>
            </w:r>
          </w:p>
        </w:tc>
        <w:tc>
          <w:tcPr>
            <w:tcW w:w="6720" w:type="dxa"/>
          </w:tcPr>
          <w:p>
            <w:pPr>
              <w:spacing w:after="0"/>
            </w:pPr>
          </w:p>
        </w:tc>
      </w:tr>
      <w:tr>
        <w:trPr>
          <w:cantSplit/>
        </w:trPr>
        <w:tc>
          <w:tcPr>
            <w:tcW w:w="3360" w:type="dxa"/>
          </w:tcPr>
          <w:p>
            <w:pPr>
              <w:spacing w:after="0"/>
            </w:pPr>
            <w:r>
              <w:rPr>
                <w:b/>
              </w:rPr>
              <w:t xml:space="preserve">Notes / action items</w:t>
            </w:r>
          </w:p>
        </w:tc>
        <w:tc>
          <w:tcPr>
            <w:tcW w:w="6720" w:type="dxa"/>
          </w:tcPr>
          <w:p>
            <w:pPr>
              <w:spacing w:after="0"/>
            </w:pPr>
          </w:p>
        </w:tc>
      </w:tr>
    </w:tbl>
    <w:p/>
    <w:p>
      <w:pPr>
        <w:pStyle w:val="Heading2"/>
      </w:pPr>
      <w:r>
        <w:t xml:space="preserve">What to record in each field</w:t>
      </w:r>
    </w:p>
    <w:tbl>
      <w:tblPr>
        <w:tblStyle w:val="TableGrid"/>
        <w:tblW w:w="10080" w:type="dxa"/>
        <w:tblLayout w:type="fixed"/>
      </w:tblPr>
      <w:tblGrid>
        <w:gridCol w:w="2015"/>
        <w:gridCol w:w="5040"/>
        <w:gridCol w:w="3024"/>
      </w:tblGrid>
      <w:tr>
        <w:trPr>
          <w:tblHeader/>
        </w:trPr>
        <w:tc>
          <w:tcPr>
            <w:tcW w:w="2015" w:type="dxa"/>
            <w:shd w:val="clear" w:color="auto" w:fill="1F3A5F"/>
          </w:tcPr>
          <w:p>
            <w:pPr>
              <w:spacing w:after="0"/>
            </w:pPr>
            <w:r>
              <w:rPr>
                <w:b/>
                <w:color w:val="FFFFFF"/>
              </w:rPr>
              <w:t xml:space="preserve">Field</w:t>
            </w:r>
          </w:p>
        </w:tc>
        <w:tc>
          <w:tcPr>
            <w:tcW w:w="5040" w:type="dxa"/>
            <w:shd w:val="clear" w:color="auto" w:fill="1F3A5F"/>
          </w:tcPr>
          <w:p>
            <w:pPr>
              <w:spacing w:after="0"/>
            </w:pPr>
            <w:r>
              <w:rPr>
                <w:b/>
                <w:color w:val="FFFFFF"/>
              </w:rPr>
              <w:t xml:space="preserve">What to record</w:t>
            </w:r>
          </w:p>
        </w:tc>
        <w:tc>
          <w:tcPr>
            <w:tcW w:w="3024" w:type="dxa"/>
            <w:shd w:val="clear" w:color="auto" w:fill="1F3A5F"/>
          </w:tcPr>
          <w:p>
            <w:pPr>
              <w:spacing w:after="0"/>
            </w:pPr>
            <w:r>
              <w:rPr>
                <w:b/>
                <w:color w:val="FFFFFF"/>
              </w:rPr>
              <w:t xml:space="preserve">Example entry</w:t>
            </w:r>
          </w:p>
        </w:tc>
      </w:tr>
      <w:tr>
        <w:trPr>
          <w:cantSplit/>
        </w:trPr>
        <w:tc>
          <w:tcPr>
            <w:tcW w:w="2015" w:type="dxa"/>
          </w:tcPr>
          <w:p>
            <w:pPr>
              <w:spacing w:after="0"/>
            </w:pPr>
            <w:r>
              <w:rPr>
                <w:b/>
              </w:rPr>
              <w:t xml:space="preserve">System name</w:t>
            </w:r>
          </w:p>
        </w:tc>
        <w:tc>
          <w:tcPr>
            <w:tcW w:w="5040" w:type="dxa"/>
          </w:tcPr>
          <w:p>
            <w:pPr>
              <w:spacing w:after="0"/>
            </w:pPr>
            <w:r>
              <w:t xml:space="preserve">The name your team uses internally. If the tool has a product name and an internal nickname, note both. Consistency here prevents duplicate entries appearing under different names during an audit.</w:t>
            </w:r>
          </w:p>
        </w:tc>
        <w:tc>
          <w:tcPr>
            <w:tcW w:w="3024" w:type="dxa"/>
          </w:tcPr>
          <w:p>
            <w:pPr>
              <w:spacing w:after="0"/>
            </w:pPr>
            <w:r>
              <w:t xml:space="preserve">TalentScore CV Screener</w:t>
            </w:r>
          </w:p>
        </w:tc>
      </w:tr>
      <w:tr>
        <w:trPr>
          <w:cantSplit/>
        </w:trPr>
        <w:tc>
          <w:tcPr>
            <w:tcW w:w="2015" w:type="dxa"/>
          </w:tcPr>
          <w:p>
            <w:pPr>
              <w:spacing w:after="0"/>
            </w:pPr>
            <w:r>
              <w:rPr>
                <w:b/>
              </w:rPr>
              <w:t xml:space="preserve">Vendor / provider</w:t>
            </w:r>
          </w:p>
        </w:tc>
        <w:tc>
          <w:tcPr>
            <w:tcW w:w="5040" w:type="dxa"/>
          </w:tcPr>
          <w:p>
            <w:pPr>
              <w:spacing w:after="0"/>
            </w:pPr>
            <w:r>
              <w:t xml:space="preserve">The organisation that built or supplies the system. For open-source models you host yourself, record the model name and the repository or source. This field is essential for vendor risk management and data processing agreement tracking.</w:t>
            </w:r>
          </w:p>
        </w:tc>
        <w:tc>
          <w:tcPr>
            <w:tcW w:w="3024" w:type="dxa"/>
          </w:tcPr>
          <w:p>
            <w:pPr>
              <w:spacing w:after="0"/>
            </w:pPr>
            <w:r>
              <w:t xml:space="preserve">TalentScore Ltd</w:t>
            </w:r>
          </w:p>
        </w:tc>
      </w:tr>
      <w:tr>
        <w:trPr>
          <w:cantSplit/>
        </w:trPr>
        <w:tc>
          <w:tcPr>
            <w:tcW w:w="2015" w:type="dxa"/>
          </w:tcPr>
          <w:p>
            <w:pPr>
              <w:spacing w:after="0"/>
            </w:pPr>
            <w:r>
              <w:rPr>
                <w:b/>
              </w:rPr>
              <w:t xml:space="preserve">Version / model</w:t>
            </w:r>
          </w:p>
        </w:tc>
        <w:tc>
          <w:tcPr>
            <w:tcW w:w="5040" w:type="dxa"/>
          </w:tcPr>
          <w:p>
            <w:pPr>
              <w:spacing w:after="0"/>
            </w:pPr>
            <w:r>
              <w:t xml:space="preserve">AI systems change. A tool that was low-risk on version 2.0 may process different data on version 3.0. Recording the version at each review date lets you spot when a vendor update warrants a re-assessment.</w:t>
            </w:r>
          </w:p>
        </w:tc>
        <w:tc>
          <w:tcPr>
            <w:tcW w:w="3024" w:type="dxa"/>
          </w:tcPr>
          <w:p>
            <w:pPr>
              <w:spacing w:after="0"/>
            </w:pPr>
            <w:r>
              <w:t xml:space="preserve">v3.2 (GPT-4o fine-tune)</w:t>
            </w:r>
          </w:p>
        </w:tc>
      </w:tr>
      <w:tr>
        <w:trPr>
          <w:cantSplit/>
        </w:trPr>
        <w:tc>
          <w:tcPr>
            <w:tcW w:w="2015" w:type="dxa"/>
          </w:tcPr>
          <w:p>
            <w:pPr>
              <w:spacing w:after="0"/>
            </w:pPr>
            <w:r>
              <w:rPr>
                <w:b/>
              </w:rPr>
              <w:t xml:space="preserve">Purpose / use case</w:t>
            </w:r>
          </w:p>
        </w:tc>
        <w:tc>
          <w:tcPr>
            <w:tcW w:w="5040" w:type="dxa"/>
          </w:tcPr>
          <w:p>
            <w:pPr>
              <w:spacing w:after="0"/>
            </w:pPr>
            <w:r>
              <w:t xml:space="preserve">One or two sentences describing what the system actually does in your organisation, not the vendor's marketing description. Be specific: "rank job applicants" rather than "assist with hiring".</w:t>
            </w:r>
          </w:p>
        </w:tc>
        <w:tc>
          <w:tcPr>
            <w:tcW w:w="3024" w:type="dxa"/>
          </w:tcPr>
          <w:p>
            <w:pPr>
              <w:spacing w:after="0"/>
            </w:pPr>
            <w:r>
              <w:t xml:space="preserve">Rank job applicants by CV relevance before human shortlisting</w:t>
            </w:r>
          </w:p>
        </w:tc>
      </w:tr>
      <w:tr>
        <w:trPr>
          <w:cantSplit/>
        </w:trPr>
        <w:tc>
          <w:tcPr>
            <w:tcW w:w="2015" w:type="dxa"/>
          </w:tcPr>
          <w:p>
            <w:pPr>
              <w:spacing w:after="0"/>
            </w:pPr>
            <w:r>
              <w:rPr>
                <w:b/>
              </w:rPr>
              <w:t xml:space="preserve">Risk classification</w:t>
            </w:r>
          </w:p>
        </w:tc>
        <w:tc>
          <w:tcPr>
            <w:tcW w:w="5040" w:type="dxa"/>
          </w:tcPr>
          <w:p>
            <w:pPr>
              <w:spacing w:after="0"/>
            </w:pPr>
            <w:r>
              <w:t xml:space="preserve">Assign a tier using your chosen framework. Under the EU AI Act, high-risk systems are listed in Annex III and include employment screening, credit assessment, biometric identification, and several others. For internal purposes, a simple Low / Medium / High scale works for most teams, with High reserved for systems that influence significant decisions about individuals.</w:t>
            </w:r>
          </w:p>
        </w:tc>
        <w:tc>
          <w:tcPr>
            <w:tcW w:w="3024" w:type="dxa"/>
          </w:tcPr>
          <w:p>
            <w:pPr>
              <w:spacing w:after="0"/>
            </w:pPr>
            <w:r>
              <w:t xml:space="preserve">High (EU AI Act Annex III, employment category)</w:t>
            </w:r>
          </w:p>
        </w:tc>
      </w:tr>
      <w:tr>
        <w:trPr>
          <w:cantSplit/>
        </w:trPr>
        <w:tc>
          <w:tcPr>
            <w:tcW w:w="2015" w:type="dxa"/>
          </w:tcPr>
          <w:p>
            <w:pPr>
              <w:spacing w:after="0"/>
            </w:pPr>
            <w:r>
              <w:rPr>
                <w:b/>
              </w:rPr>
              <w:t xml:space="preserve">Data inputs</w:t>
            </w:r>
          </w:p>
        </w:tc>
        <w:tc>
          <w:tcPr>
            <w:tcW w:w="5040" w:type="dxa"/>
          </w:tcPr>
          <w:p>
            <w:pPr>
              <w:spacing w:after="0"/>
            </w:pPr>
            <w:r>
              <w:t xml:space="preserve">List every personal data category the system processes. This field links your AI register to your GDPR Article 30 records of processing activities. If the system processes special category data (health, biometric, racial or ethnic origin), note it here and flag for a data protection impact assessment if one has not been completed.</w:t>
            </w:r>
          </w:p>
        </w:tc>
        <w:tc>
          <w:tcPr>
            <w:tcW w:w="3024" w:type="dxa"/>
          </w:tcPr>
          <w:p>
            <w:pPr>
              <w:spacing w:after="0"/>
            </w:pPr>
            <w:r>
              <w:t xml:space="preserve">Name, address, work history, education (CV text); no special category data</w:t>
            </w:r>
          </w:p>
        </w:tc>
      </w:tr>
      <w:tr>
        <w:trPr>
          <w:cantSplit/>
        </w:trPr>
        <w:tc>
          <w:tcPr>
            <w:tcW w:w="2015" w:type="dxa"/>
          </w:tcPr>
          <w:p>
            <w:pPr>
              <w:spacing w:after="0"/>
            </w:pPr>
            <w:r>
              <w:rPr>
                <w:b/>
              </w:rPr>
              <w:t xml:space="preserve">Output type</w:t>
            </w:r>
          </w:p>
        </w:tc>
        <w:tc>
          <w:tcPr>
            <w:tcW w:w="5040" w:type="dxa"/>
          </w:tcPr>
          <w:p>
            <w:pPr>
              <w:spacing w:after="0"/>
            </w:pPr>
            <w:r>
              <w:t xml:space="preserve">Describe what the system produces: a ranked list, a binary decision, a generated document, a risk score, a recommendation, or something else. This matters because regulators treat automated decisions differently from recommendations that a human must still act on.</w:t>
            </w:r>
          </w:p>
        </w:tc>
        <w:tc>
          <w:tcPr>
            <w:tcW w:w="3024" w:type="dxa"/>
          </w:tcPr>
          <w:p>
            <w:pPr>
              <w:spacing w:after="0"/>
            </w:pPr>
            <w:r>
              <w:t xml:space="preserve">Ranked recommendation (score 0-100 per applicant)</w:t>
            </w:r>
          </w:p>
        </w:tc>
      </w:tr>
      <w:tr>
        <w:trPr>
          <w:cantSplit/>
        </w:trPr>
        <w:tc>
          <w:tcPr>
            <w:tcW w:w="2015" w:type="dxa"/>
          </w:tcPr>
          <w:p>
            <w:pPr>
              <w:spacing w:after="0"/>
            </w:pPr>
            <w:r>
              <w:rPr>
                <w:b/>
              </w:rPr>
              <w:t xml:space="preserve">Human oversight mechanism</w:t>
            </w:r>
          </w:p>
        </w:tc>
        <w:tc>
          <w:tcPr>
            <w:tcW w:w="5040" w:type="dxa"/>
          </w:tcPr>
          <w:p>
            <w:pPr>
              <w:spacing w:after="0"/>
            </w:pPr>
            <w:r>
              <w:t xml:space="preserve">How does a human review, override, or validate the system's output before it affects a person or a significant business decision? Be concrete. "Manager reviews" is not sufficient. "Manager reviews all outputs before action is taken, and can reject without providing a reason" is.</w:t>
            </w:r>
          </w:p>
        </w:tc>
        <w:tc>
          <w:tcPr>
            <w:tcW w:w="3024" w:type="dxa"/>
          </w:tcPr>
          <w:p>
            <w:pPr>
              <w:spacing w:after="0"/>
            </w:pPr>
            <w:r>
              <w:t xml:space="preserve">Recruiter reviews all candidates within 10% of top score; no auto-rejection</w:t>
            </w:r>
          </w:p>
        </w:tc>
      </w:tr>
      <w:tr>
        <w:trPr>
          <w:cantSplit/>
        </w:trPr>
        <w:tc>
          <w:tcPr>
            <w:tcW w:w="2015" w:type="dxa"/>
          </w:tcPr>
          <w:p>
            <w:pPr>
              <w:spacing w:after="0"/>
            </w:pPr>
            <w:r>
              <w:rPr>
                <w:b/>
              </w:rPr>
              <w:t xml:space="preserve">Last review date</w:t>
            </w:r>
          </w:p>
        </w:tc>
        <w:tc>
          <w:tcPr>
            <w:tcW w:w="5040" w:type="dxa"/>
          </w:tcPr>
          <w:p>
            <w:pPr>
              <w:spacing w:after="0"/>
            </w:pPr>
            <w:r>
              <w:t xml:space="preserve">The date you last verified that all fields in this row are accurate. A blank date means the entry has not been reviewed since it was created.</w:t>
            </w:r>
          </w:p>
        </w:tc>
        <w:tc>
          <w:tcPr>
            <w:tcW w:w="3024" w:type="dxa"/>
          </w:tcPr>
          <w:p>
            <w:pPr>
              <w:spacing w:after="0"/>
            </w:pPr>
            <w:r>
              <w:t xml:space="preserve">2026-04-15</w:t>
            </w:r>
          </w:p>
        </w:tc>
      </w:tr>
      <w:tr>
        <w:trPr>
          <w:cantSplit/>
        </w:trPr>
        <w:tc>
          <w:tcPr>
            <w:tcW w:w="2015" w:type="dxa"/>
          </w:tcPr>
          <w:p>
            <w:pPr>
              <w:spacing w:after="0"/>
            </w:pPr>
            <w:r>
              <w:rPr>
                <w:b/>
              </w:rPr>
              <w:t xml:space="preserve">Responsible owner</w:t>
            </w:r>
          </w:p>
        </w:tc>
        <w:tc>
          <w:tcPr>
            <w:tcW w:w="5040" w:type="dxa"/>
          </w:tcPr>
          <w:p>
            <w:pPr>
              <w:spacing w:after="0"/>
            </w:pPr>
            <w:r>
              <w:t xml:space="preserve">The named person or role accountable for this system's governance. One name. Not a team, not a department. Someone who will respond when a regulator asks who is responsible.</w:t>
            </w:r>
          </w:p>
        </w:tc>
        <w:tc>
          <w:tcPr>
            <w:tcW w:w="3024" w:type="dxa"/>
          </w:tcPr>
          <w:p>
            <w:pPr>
              <w:spacing w:after="0"/>
            </w:pPr>
            <w:r>
              <w:t xml:space="preserve">Head of People (J. Patel)</w:t>
            </w:r>
          </w:p>
        </w:tc>
      </w:tr>
      <w:tr>
        <w:trPr>
          <w:cantSplit/>
        </w:trPr>
        <w:tc>
          <w:tcPr>
            <w:tcW w:w="2015" w:type="dxa"/>
          </w:tcPr>
          <w:p>
            <w:pPr>
              <w:spacing w:after="0"/>
            </w:pPr>
            <w:r>
              <w:rPr>
                <w:b/>
              </w:rPr>
              <w:t xml:space="preserve">Compliance framework mapping</w:t>
            </w:r>
          </w:p>
        </w:tc>
        <w:tc>
          <w:tcPr>
            <w:tcW w:w="5040" w:type="dxa"/>
          </w:tcPr>
          <w:p>
            <w:pPr>
              <w:spacing w:after="0"/>
            </w:pPr>
            <w:r>
              <w:t xml:space="preserve">List every framework or regulation this system is subject to. Common entries include EU AI Act Article 26 (deployers) or Article 11 (providers), NIST AI RMF, GDPR Article 22, UK Equality Act 2010, HIPAA (if health data is involved), and Colorado SB 26-189. This field makes it easy to pull all records relevant to a specific framework during an audit.</w:t>
            </w:r>
          </w:p>
        </w:tc>
        <w:tc>
          <w:tcPr>
            <w:tcW w:w="3024" w:type="dxa"/>
          </w:tcPr>
          <w:p>
            <w:pPr>
              <w:spacing w:after="0"/>
            </w:pPr>
            <w:r>
              <w:t xml:space="preserve">EU AI Act Annex III point 4 and Art. 26 / NIST AI RMF GOVERN 1.6 / UK Equality Act 2010</w:t>
            </w:r>
          </w:p>
        </w:tc>
      </w:tr>
      <w:tr>
        <w:trPr>
          <w:cantSplit/>
        </w:trPr>
        <w:tc>
          <w:tcPr>
            <w:tcW w:w="2015" w:type="dxa"/>
          </w:tcPr>
          <w:p>
            <w:pPr>
              <w:spacing w:after="0"/>
            </w:pPr>
            <w:r>
              <w:rPr>
                <w:b/>
              </w:rPr>
              <w:t xml:space="preserve">Notes / action items</w:t>
            </w:r>
          </w:p>
        </w:tc>
        <w:tc>
          <w:tcPr>
            <w:tcW w:w="5040" w:type="dxa"/>
          </w:tcPr>
          <w:p>
            <w:pPr>
              <w:spacing w:after="0"/>
            </w:pPr>
            <w:r>
              <w:t xml:space="preserve">Anything that does not fit elsewhere: contract renewal dates, pending audits, outstanding DPAs, known limitations, or planned changes. Date your notes so you can track what was known when.</w:t>
            </w:r>
          </w:p>
        </w:tc>
        <w:tc>
          <w:tcPr>
            <w:tcW w:w="3024" w:type="dxa"/>
          </w:tcPr>
          <w:p>
            <w:pPr>
              <w:spacing w:after="0"/>
            </w:pPr>
            <w:r>
              <w:t xml:space="preserve">DPA signed 2025-11; bias audit due Q3 2026</w:t>
            </w:r>
          </w:p>
        </w:tc>
      </w:tr>
    </w:tbl>
    <w:p/>
    <w:sectPr>
      <w:pgSz w:w="12240" w:h="15840"/>
      <w:pgMar w:top="1080" w:right="1080" w:bottom="1080" w:left="1080" w:header="720" w:footer="72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20" w:line="264" w:lineRule="auto"/>
      </w:pPr>
    </w:pPrDefault>
  </w:docDefaults>
  <w:style w:type="paragraph" w:default="1" w:styleId="Normal">
    <w:name w:val="Normal"/>
    <w:qFormat/>
  </w:style>
  <w:style w:type="paragraph" w:styleId="Heading1">
    <w:name w:val="heading 1"/>
    <w:basedOn w:val="Normal"/>
    <w:next w:val="Normal"/>
    <w:qFormat/>
    <w:pPr>
      <w:keepNext/>
      <w:spacing w:before="240" w:after="120"/>
      <w:outlineLvl w:val="0"/>
    </w:pPr>
    <w:rPr>
      <w:b/>
      <w:color w:val="1F3A5F"/>
      <w:sz w:val="34"/>
      <w:szCs w:val="34"/>
    </w:rPr>
  </w:style>
  <w:style w:type="paragraph" w:styleId="Heading2">
    <w:name w:val="heading 2"/>
    <w:basedOn w:val="Normal"/>
    <w:next w:val="Normal"/>
    <w:qFormat/>
    <w:pPr>
      <w:keepNext/>
      <w:spacing w:before="240" w:after="80"/>
      <w:outlineLvl w:val="1"/>
    </w:pPr>
    <w:rPr>
      <w:b/>
      <w:color w:val="1F3A5F"/>
      <w:sz w:val="27"/>
      <w:szCs w:val="27"/>
    </w:rPr>
  </w:style>
  <w:style w:type="paragraph" w:styleId="Heading3">
    <w:name w:val="heading 3"/>
    <w:basedOn w:val="Normal"/>
    <w:next w:val="Normal"/>
    <w:qFormat/>
    <w:pPr>
      <w:keepNext/>
      <w:spacing w:before="160" w:after="60"/>
      <w:outlineLvl w:val="2"/>
    </w:pPr>
    <w:rPr>
      <w:b/>
      <w:sz w:val="23"/>
      <w:szCs w:val="23"/>
    </w:rPr>
  </w:style>
  <w:style w:type="paragraph" w:styleId="ListParagraph">
    <w:name w:val="List Paragraph"/>
    <w:basedOn w:val="Normal"/>
    <w:qFormat/>
    <w:pPr>
      <w:spacing w:after="60"/>
      <w:ind w:left="720"/>
    </w:p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core.xml><?xml version="1.0" encoding="utf-8"?>
<cp:coreProperties xmlns:cp="http://schemas.openxmlformats.org/package/2006/metadata/core-properties" xmlns:dc="http://purl.org/dc/elements/1.1/" xmlns:dcterms="http://purl.org/dc/terms/" xmlns:xsi="http://www.w3.org/2001/XMLSchema-instance">
  <dc:title>AI register template</dc:title>
  <dc:creator>AI Policy Desk</dc:creator>
</cp:coreProperties>
</file>